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Ind w:type="dxa" w:w="108"/>
        <w:tblLayout w:type="fixed"/>
      </w:tblPr>
      <w:tblGrid>
        <w:gridCol w:w="538"/>
        <w:gridCol w:w="538"/>
        <w:gridCol w:w="5280"/>
        <w:gridCol w:w="856"/>
        <w:gridCol w:w="1434"/>
      </w:tblGrid>
      <w:tr>
        <w:trPr>
          <w:trHeight w:hRule="atLeast" w:val="259"/>
        </w:trPr>
        <w:tc>
          <w:tcPr>
            <w:tcW w:type="dxa" w:w="6356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1000000">
            <w:pPr>
              <w:spacing w:after="0" w:line="240" w:lineRule="auto"/>
              <w:ind/>
              <w:jc w:val="center"/>
              <w:rPr>
                <w:rFonts w:ascii="Tahoma" w:hAnsi="Tahoma"/>
                <w:b w:val="1"/>
                <w:sz w:val="16"/>
              </w:rPr>
            </w:pPr>
            <w:bookmarkStart w:id="1" w:name="_GoBack"/>
            <w:bookmarkEnd w:id="1"/>
            <w:r>
              <w:rPr>
                <w:rFonts w:ascii="Tahoma" w:hAnsi="Tahoma"/>
                <w:b w:val="1"/>
                <w:sz w:val="16"/>
              </w:rPr>
              <w:t>ПОЯСНИТЕЛЬНАЯ ЗАПИСКА</w:t>
            </w: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2000000">
            <w:pPr>
              <w:spacing w:after="0" w:line="240" w:lineRule="auto"/>
              <w:ind/>
              <w:jc w:val="center"/>
              <w:rPr>
                <w:rFonts w:ascii="Tahoma" w:hAnsi="Tahoma"/>
                <w:b w:val="1"/>
                <w:sz w:val="16"/>
              </w:rPr>
            </w:pPr>
          </w:p>
        </w:tc>
        <w:tc>
          <w:tcPr>
            <w:tcW w:type="dxa" w:w="14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  <w:vAlign w:val="bottom"/>
          </w:tcPr>
          <w:p w14:paraId="03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КОДЫ</w:t>
            </w:r>
          </w:p>
        </w:tc>
      </w:tr>
      <w:tr>
        <w:trPr>
          <w:trHeight w:hRule="atLeast" w:val="245"/>
        </w:trPr>
        <w:tc>
          <w:tcPr>
            <w:tcW w:type="dxa" w:w="6356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4000000">
            <w:pPr>
              <w:spacing w:after="0" w:line="240" w:lineRule="auto"/>
              <w:ind/>
              <w:jc w:val="center"/>
              <w:rPr>
                <w:rFonts w:ascii="Tahoma" w:hAnsi="Tahoma"/>
                <w:b w:val="1"/>
                <w:sz w:val="16"/>
              </w:rPr>
            </w:pPr>
            <w:r>
              <w:rPr>
                <w:rFonts w:ascii="Tahoma" w:hAnsi="Tahoma"/>
                <w:b w:val="1"/>
                <w:sz w:val="16"/>
              </w:rPr>
              <w:t>К БАЛАНСУ УЧРЕЖДЕНИЯ</w:t>
            </w: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5000000">
            <w:pPr>
              <w:spacing w:after="0" w:line="240" w:lineRule="auto"/>
              <w:ind/>
              <w:jc w:val="right"/>
              <w:rPr>
                <w:rFonts w:ascii="Tahoma" w:hAnsi="Tahoma"/>
                <w:color w:val="000000"/>
                <w:sz w:val="16"/>
              </w:rPr>
            </w:pPr>
            <w:r>
              <w:rPr>
                <w:rFonts w:ascii="Tahoma" w:hAnsi="Tahoma"/>
                <w:color w:val="000000"/>
                <w:sz w:val="16"/>
              </w:rPr>
              <w:t>Форма по ОКУД</w:t>
            </w:r>
          </w:p>
        </w:tc>
        <w:tc>
          <w:tcPr>
            <w:tcW w:type="dxa" w:w="1434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6000000">
            <w:pPr>
              <w:spacing w:after="0" w:line="240" w:lineRule="auto"/>
              <w:ind/>
              <w:jc w:val="center"/>
              <w:rPr>
                <w:rFonts w:ascii="Tahoma" w:hAnsi="Tahoma"/>
                <w:color w:val="000000"/>
                <w:sz w:val="16"/>
              </w:rPr>
            </w:pPr>
            <w:r>
              <w:rPr>
                <w:rFonts w:ascii="Tahoma" w:hAnsi="Tahoma"/>
                <w:color w:val="000000"/>
                <w:sz w:val="16"/>
              </w:rPr>
              <w:t>0503760</w:t>
            </w:r>
          </w:p>
        </w:tc>
      </w:tr>
      <w:tr>
        <w:trPr>
          <w:trHeight w:hRule="atLeast" w:val="245"/>
        </w:trPr>
        <w:tc>
          <w:tcPr>
            <w:tcW w:type="dxa" w:w="6356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7000000">
            <w:pPr>
              <w:spacing w:after="0" w:line="240" w:lineRule="auto"/>
              <w:ind/>
              <w:jc w:val="center"/>
              <w:rPr>
                <w:rFonts w:ascii="Tahoma" w:hAnsi="Tahoma"/>
                <w:b w:val="1"/>
                <w:sz w:val="16"/>
              </w:rPr>
            </w:pPr>
            <w:r>
              <w:rPr>
                <w:rFonts w:ascii="Tahoma" w:hAnsi="Tahoma"/>
                <w:b w:val="1"/>
                <w:sz w:val="16"/>
              </w:rPr>
              <w:t>на  1 января 2022 г.</w:t>
            </w: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8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Дата</w:t>
            </w: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9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01.01.2022</w:t>
            </w:r>
          </w:p>
        </w:tc>
      </w:tr>
      <w:tr>
        <w:trPr>
          <w:trHeight w:hRule="atLeast" w:val="245"/>
        </w:trPr>
        <w:tc>
          <w:tcPr>
            <w:tcW w:type="dxa" w:w="53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A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type="dxa" w:w="53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8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E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 </w:t>
            </w:r>
          </w:p>
        </w:tc>
      </w:tr>
      <w:tr>
        <w:trPr>
          <w:trHeight w:hRule="atLeast" w:val="505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F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Учреждение</w:t>
            </w:r>
          </w:p>
        </w:tc>
        <w:tc>
          <w:tcPr>
            <w:tcW w:type="dxa" w:w="528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0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Муниципальное бюджетное общеобразовательное учреждение "Якушкинская средняя общеобразовательная школа Нурлатского муниципального района Республики Татарстан"</w:t>
            </w: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1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по ОКПО</w:t>
            </w: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54413559</w:t>
            </w:r>
          </w:p>
        </w:tc>
      </w:tr>
      <w:tr>
        <w:trPr>
          <w:trHeight w:hRule="atLeast" w:val="245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3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Обособленное подразделение</w:t>
            </w:r>
          </w:p>
        </w:tc>
        <w:tc>
          <w:tcPr>
            <w:tcW w:type="dxa" w:w="528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 w14:paraId="14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5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6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 </w:t>
            </w:r>
          </w:p>
        </w:tc>
      </w:tr>
      <w:tr>
        <w:trPr>
          <w:trHeight w:hRule="atLeast" w:val="245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7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Учредитель</w:t>
            </w:r>
          </w:p>
        </w:tc>
        <w:tc>
          <w:tcPr>
            <w:tcW w:type="dxa" w:w="5280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 w14:paraId="18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9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по ОКТМО</w:t>
            </w: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92646000</w:t>
            </w:r>
          </w:p>
        </w:tc>
      </w:tr>
      <w:tr>
        <w:trPr>
          <w:trHeight w:hRule="atLeast" w:val="245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B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Наименование органа,</w:t>
            </w:r>
          </w:p>
        </w:tc>
        <w:tc>
          <w:tcPr>
            <w:tcW w:type="dxa" w:w="5280"/>
            <w:vMerge w:val="restart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 w14:paraId="1C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D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1434"/>
            <w:vMerge w:val="restart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E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</w:p>
        </w:tc>
      </w:tr>
      <w:tr>
        <w:trPr>
          <w:trHeight w:hRule="atLeast" w:val="245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F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осуществляющего</w:t>
            </w:r>
          </w:p>
        </w:tc>
        <w:tc>
          <w:tcPr>
            <w:tcW w:type="dxa" w:w="5280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/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0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по ОКПО</w:t>
            </w:r>
          </w:p>
        </w:tc>
        <w:tc>
          <w:tcPr>
            <w:tcW w:type="dxa" w:w="1434"/>
            <w:gridSpan w:val="1"/>
            <w:vMerge w:val="continue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/>
        </w:tc>
      </w:tr>
      <w:tr>
        <w:trPr>
          <w:trHeight w:hRule="atLeast" w:val="245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1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полномочия учредителя</w:t>
            </w:r>
          </w:p>
        </w:tc>
        <w:tc>
          <w:tcPr>
            <w:tcW w:type="dxa" w:w="5280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bottom"/>
          </w:tcPr>
          <w:p/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2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Глава по БК</w:t>
            </w: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3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</w:p>
        </w:tc>
      </w:tr>
      <w:tr>
        <w:trPr>
          <w:trHeight w:hRule="atLeast" w:val="274"/>
        </w:trPr>
        <w:tc>
          <w:tcPr>
            <w:tcW w:type="dxa" w:w="6356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4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Периодичность:  квартальная, годовая</w:t>
            </w: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5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6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 </w:t>
            </w:r>
          </w:p>
        </w:tc>
      </w:tr>
      <w:tr>
        <w:trPr>
          <w:trHeight w:hRule="atLeast" w:val="274"/>
        </w:trPr>
        <w:tc>
          <w:tcPr>
            <w:tcW w:type="dxa" w:w="1076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7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Единица измерения:  руб </w:t>
            </w:r>
          </w:p>
        </w:tc>
        <w:tc>
          <w:tcPr>
            <w:tcW w:type="dxa" w:w="528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8000000">
            <w:pPr>
              <w:spacing w:after="0" w:line="240" w:lineRule="auto"/>
              <w:ind/>
              <w:rPr>
                <w:rFonts w:ascii="Tahoma" w:hAnsi="Tahoma"/>
                <w:sz w:val="16"/>
              </w:rPr>
            </w:pP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9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к Балансу по форме</w:t>
            </w: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bottom"/>
          </w:tcPr>
          <w:p w14:paraId="2A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0503730</w:t>
            </w:r>
          </w:p>
        </w:tc>
      </w:tr>
      <w:tr>
        <w:trPr>
          <w:trHeight w:hRule="atLeast" w:val="274"/>
        </w:trPr>
        <w:tc>
          <w:tcPr>
            <w:tcW w:type="dxa" w:w="53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B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</w:p>
        </w:tc>
        <w:tc>
          <w:tcPr>
            <w:tcW w:type="dxa" w:w="53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80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2E000000">
            <w:pPr>
              <w:spacing w:after="0" w:line="240" w:lineRule="auto"/>
              <w:ind/>
              <w:jc w:val="righ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по ОКЕИ</w:t>
            </w:r>
          </w:p>
        </w:tc>
        <w:tc>
          <w:tcPr>
            <w:tcW w:type="dxa" w:w="14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bottom"/>
          </w:tcPr>
          <w:p w14:paraId="2F000000">
            <w:pPr>
              <w:spacing w:after="0" w:line="240" w:lineRule="auto"/>
              <w:ind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383</w:t>
            </w:r>
          </w:p>
        </w:tc>
      </w:tr>
    </w:tbl>
    <w:p w14:paraId="30000000">
      <w:pPr>
        <w:ind w:right="-284"/>
      </w:pPr>
    </w:p>
    <w:p w14:paraId="3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Раздел №1. Организационная структура</w:t>
      </w:r>
    </w:p>
    <w:p w14:paraId="32000000">
      <w:pPr>
        <w:ind w:right="-284"/>
        <w:rPr>
          <w:rFonts w:ascii="Tahoma" w:hAnsi="Tahoma"/>
          <w:sz w:val="16"/>
        </w:rPr>
      </w:pPr>
    </w:p>
    <w:p w14:paraId="3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    Муниципальное бюджетное общеобразовательное учреждение «Якушкинская средняя  общеобразовательная школа Нурлатского муниципального района Республики Татарстан» действует на основании Устава,  утвержденного Исполнительным комитетом Нурлатского муниципал</w:t>
      </w:r>
      <w:r>
        <w:rPr>
          <w:rFonts w:ascii="Tahoma" w:hAnsi="Tahoma"/>
          <w:sz w:val="16"/>
        </w:rPr>
        <w:t xml:space="preserve">ьного района Республики Татарстан, постановление №1119 от 23.11.2020 г.  Учреждение является самостоятельным юридическим лицом и зарегистрировано  в 1977 г. на основании Постановления…..  </w:t>
      </w:r>
    </w:p>
    <w:p w14:paraId="3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    Школа реализует </w:t>
      </w:r>
      <w:r>
        <w:rPr>
          <w:rFonts w:ascii="Tahoma" w:hAnsi="Tahoma"/>
          <w:sz w:val="16"/>
        </w:rPr>
        <w:t>образовательный</w:t>
      </w:r>
      <w:r>
        <w:rPr>
          <w:rFonts w:ascii="Tahoma" w:hAnsi="Tahoma"/>
          <w:sz w:val="16"/>
        </w:rPr>
        <w:t xml:space="preserve"> программы: начального общего о</w:t>
      </w:r>
      <w:r>
        <w:rPr>
          <w:rFonts w:ascii="Tahoma" w:hAnsi="Tahoma"/>
          <w:sz w:val="16"/>
        </w:rPr>
        <w:t>бразования; основного общего образования; дополнительного образования детей и взрослых.</w:t>
      </w:r>
    </w:p>
    <w:p w14:paraId="3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    Лицензия на право образовательной деятельности №6454 от 08.05.15. Свидетельство о государственной аккредитации №3731 от 16.08.2020 г. (основной государственный ном</w:t>
      </w:r>
      <w:r>
        <w:rPr>
          <w:rFonts w:ascii="Tahoma" w:hAnsi="Tahoma"/>
          <w:sz w:val="16"/>
        </w:rPr>
        <w:t>ер 1021605354935). Юридический  и фактический адрес: 423021, Республика Татарстан, Нурлатский муниципальный район, с</w:t>
      </w:r>
      <w:r>
        <w:rPr>
          <w:rFonts w:ascii="Tahoma" w:hAnsi="Tahoma"/>
          <w:sz w:val="16"/>
        </w:rPr>
        <w:t>.Я</w:t>
      </w:r>
      <w:r>
        <w:rPr>
          <w:rFonts w:ascii="Tahoma" w:hAnsi="Tahoma"/>
          <w:sz w:val="16"/>
        </w:rPr>
        <w:t xml:space="preserve">кушкино, ул.Школьная, дом 2.  </w:t>
      </w:r>
    </w:p>
    <w:p w14:paraId="3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 балансе учреждения числится следующее недвижимое имущество:</w:t>
      </w:r>
    </w:p>
    <w:p w14:paraId="37000000">
      <w:pPr>
        <w:ind w:right="-284"/>
        <w:rPr>
          <w:rFonts w:ascii="Tahoma" w:hAnsi="Tahoma"/>
          <w:sz w:val="16"/>
        </w:rPr>
      </w:pPr>
    </w:p>
    <w:p w14:paraId="3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1. Нежилое здание - школа, общая площадь 22</w:t>
      </w:r>
      <w:r>
        <w:rPr>
          <w:rFonts w:ascii="Tahoma" w:hAnsi="Tahoma"/>
          <w:sz w:val="16"/>
        </w:rPr>
        <w:t>28,2 кв.м. Выписка из единого государственного реестра недвижимости №16:32:090301:242-16/024/2020-2 от 10.01.2020</w:t>
      </w:r>
    </w:p>
    <w:p w14:paraId="3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2. Нежилое здание - школа, общая площадь 1187,6 кв.м. Выписка из единого государственного реестра недвижимости №16:32:110101:185-16/024/2020-2</w:t>
      </w:r>
      <w:r>
        <w:rPr>
          <w:rFonts w:ascii="Tahoma" w:hAnsi="Tahoma"/>
          <w:sz w:val="16"/>
        </w:rPr>
        <w:t xml:space="preserve"> от 10.01.2020</w:t>
      </w:r>
    </w:p>
    <w:p w14:paraId="3A000000">
      <w:pPr>
        <w:ind w:right="-284"/>
        <w:rPr>
          <w:rFonts w:ascii="Tahoma" w:hAnsi="Tahoma"/>
          <w:sz w:val="16"/>
        </w:rPr>
      </w:pPr>
    </w:p>
    <w:p w14:paraId="3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Земельный участок - общая площадь 19356 кв.м. Свидетельство о государственной регистрации права от 04.02.2015   серия 16-АН  №662220</w:t>
      </w:r>
    </w:p>
    <w:p w14:paraId="3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Земельный участок - общая площадь 8749 кв.м. Свидетельство о государственной регистрации права от 16.02</w:t>
      </w:r>
      <w:r>
        <w:rPr>
          <w:rFonts w:ascii="Tahoma" w:hAnsi="Tahoma"/>
          <w:sz w:val="16"/>
        </w:rPr>
        <w:t>.2011   серия 16-АН  №821382</w:t>
      </w:r>
    </w:p>
    <w:p w14:paraId="3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Земельный участок - общая площадь 3963 кв.м. Свидетельство о государственной регистрации права от 19.09.2017   №16-0-1-222/4002/2017-1673</w:t>
      </w:r>
    </w:p>
    <w:p w14:paraId="3E000000">
      <w:pPr>
        <w:ind w:right="-284"/>
        <w:rPr>
          <w:rFonts w:ascii="Tahoma" w:hAnsi="Tahoma"/>
          <w:sz w:val="16"/>
        </w:rPr>
      </w:pPr>
    </w:p>
    <w:p w14:paraId="3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Учреждение в своей деятельности руководствуется 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Фе</w:t>
      </w:r>
      <w:r>
        <w:rPr>
          <w:rFonts w:ascii="Tahoma" w:hAnsi="Tahoma"/>
          <w:sz w:val="16"/>
        </w:rPr>
        <w:t>деральным законом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законодательством  Республики Татарстан,  муницип</w:t>
      </w:r>
      <w:r>
        <w:rPr>
          <w:rFonts w:ascii="Tahoma" w:hAnsi="Tahoma"/>
          <w:sz w:val="16"/>
        </w:rPr>
        <w:t xml:space="preserve">альными правовыми актами органов местного самоуправления Нурлатского муниципального района, локальными правовыми актами Муниципального казенного учреждения «Управление </w:t>
      </w:r>
      <w:r>
        <w:rPr>
          <w:rFonts w:ascii="Tahoma" w:hAnsi="Tahoma"/>
          <w:sz w:val="16"/>
        </w:rPr>
        <w:t>образования Нурлатского муниципального района Республики Татарстан», настоящим Уставом и</w:t>
      </w:r>
      <w:r>
        <w:rPr>
          <w:rFonts w:ascii="Tahoma" w:hAnsi="Tahoma"/>
          <w:sz w:val="16"/>
        </w:rPr>
        <w:t xml:space="preserve"> локальными нормативными актами Учреждения. </w:t>
      </w:r>
    </w:p>
    <w:p w14:paraId="4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Финансово-хозяйственную деятельность осуществляют в соответствии с требованиями и положениями действующих нормативных документов и инструкций Министерства финансов РФ по ведению бухгалтерского учета:</w:t>
      </w:r>
    </w:p>
    <w:p w14:paraId="4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Федерал</w:t>
      </w:r>
      <w:r>
        <w:rPr>
          <w:rFonts w:ascii="Tahoma" w:hAnsi="Tahoma"/>
          <w:sz w:val="16"/>
        </w:rPr>
        <w:t>ьным законом «О бухгалтерском учете» от 6 декабря 2011 г. № 402-ФЗ;</w:t>
      </w:r>
    </w:p>
    <w:p w14:paraId="4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Приказом Министерства финансов РФ от 01.12.2010 №157н;</w:t>
      </w:r>
    </w:p>
    <w:p w14:paraId="4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• Договором на бухгалтерское обслуживание № 57 от 01.01.2020г.</w:t>
      </w:r>
    </w:p>
    <w:p w14:paraId="44000000">
      <w:pPr>
        <w:ind w:right="-284"/>
        <w:rPr>
          <w:rFonts w:ascii="Tahoma" w:hAnsi="Tahoma"/>
          <w:sz w:val="16"/>
        </w:rPr>
      </w:pPr>
    </w:p>
    <w:p w14:paraId="4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У учреждения имеется расчетный счет: 40603810810022000138  ГРКЦ НБ </w:t>
      </w:r>
      <w:r>
        <w:rPr>
          <w:rFonts w:ascii="Tahoma" w:hAnsi="Tahoma"/>
          <w:sz w:val="16"/>
        </w:rPr>
        <w:t>РТ</w:t>
      </w:r>
    </w:p>
    <w:p w14:paraId="46000000">
      <w:pPr>
        <w:ind w:right="-284"/>
        <w:rPr>
          <w:rFonts w:ascii="Tahoma" w:hAnsi="Tahoma"/>
          <w:sz w:val="16"/>
        </w:rPr>
      </w:pPr>
    </w:p>
    <w:p w14:paraId="4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ЛБГ- 33900166-ЯкушкСОШ - счет для учета операций с бюджетными субсидиями на выполнение муниципального задания.</w:t>
      </w:r>
    </w:p>
    <w:p w14:paraId="4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- ЛБВ- 33900237-ЯкушкСОШ </w:t>
      </w:r>
      <w:r>
        <w:rPr>
          <w:rFonts w:ascii="Tahoma" w:hAnsi="Tahoma"/>
          <w:sz w:val="16"/>
        </w:rPr>
        <w:t>-с</w:t>
      </w:r>
      <w:r>
        <w:rPr>
          <w:rFonts w:ascii="Tahoma" w:hAnsi="Tahoma"/>
          <w:sz w:val="16"/>
        </w:rPr>
        <w:t>чет для учета операций по внебюджетной деятельности;</w:t>
      </w:r>
    </w:p>
    <w:p w14:paraId="4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ЛБО-33900340-ЯкушкСОШ-счет для учета операций с целевыми (иными) субсидиями, которые носят целевой характер направления.</w:t>
      </w:r>
    </w:p>
    <w:p w14:paraId="4A000000">
      <w:pPr>
        <w:ind w:right="-284"/>
        <w:rPr>
          <w:rFonts w:ascii="Tahoma" w:hAnsi="Tahoma"/>
          <w:sz w:val="16"/>
        </w:rPr>
      </w:pPr>
    </w:p>
    <w:p w14:paraId="4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Учреждения в рамках своей деятельности предоставляют следующие муниципальные услуги:</w:t>
      </w:r>
    </w:p>
    <w:p w14:paraId="4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организация предоставления общедоступного и б</w:t>
      </w:r>
      <w:r>
        <w:rPr>
          <w:rFonts w:ascii="Tahoma" w:hAnsi="Tahoma"/>
          <w:sz w:val="16"/>
        </w:rPr>
        <w:t>есплатного начального, основного общего образования по основным общеобразовательным программам;</w:t>
      </w:r>
    </w:p>
    <w:p w14:paraId="4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- </w:t>
      </w:r>
      <w:r>
        <w:rPr>
          <w:rFonts w:ascii="Tahoma" w:hAnsi="Tahoma"/>
          <w:sz w:val="16"/>
        </w:rPr>
        <w:t>обучение по программам</w:t>
      </w:r>
      <w:r>
        <w:rPr>
          <w:rFonts w:ascii="Tahoma" w:hAnsi="Tahoma"/>
          <w:sz w:val="16"/>
        </w:rPr>
        <w:t xml:space="preserve"> дополнительного образования различной направленности (физическая культура, музыка, хореография, театр, изобразительное искусство, эстет</w:t>
      </w:r>
      <w:r>
        <w:rPr>
          <w:rFonts w:ascii="Tahoma" w:hAnsi="Tahoma"/>
          <w:sz w:val="16"/>
        </w:rPr>
        <w:t>ическое развитие и другие направления);</w:t>
      </w:r>
    </w:p>
    <w:p w14:paraId="4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предоставление услуг в области организации отдыха, оздоровления и трудового воспитания детей в каникулярное время;</w:t>
      </w:r>
    </w:p>
    <w:p w14:paraId="4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Изменения (ликвидация, реорганизация, слияние) в сеть </w:t>
      </w:r>
      <w:r>
        <w:rPr>
          <w:rFonts w:ascii="Tahoma" w:hAnsi="Tahoma"/>
          <w:sz w:val="16"/>
        </w:rPr>
        <w:t>образовательных</w:t>
      </w:r>
      <w:r>
        <w:rPr>
          <w:rFonts w:ascii="Tahoma" w:hAnsi="Tahoma"/>
          <w:sz w:val="16"/>
        </w:rPr>
        <w:t xml:space="preserve"> учреждения за  2021 год не вн</w:t>
      </w:r>
      <w:r>
        <w:rPr>
          <w:rFonts w:ascii="Tahoma" w:hAnsi="Tahoma"/>
          <w:sz w:val="16"/>
        </w:rPr>
        <w:t>осились.</w:t>
      </w:r>
    </w:p>
    <w:p w14:paraId="5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Таблица 1 Сведения об основных направлениях деятельности</w:t>
      </w:r>
    </w:p>
    <w:p w14:paraId="5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Наименование цели деятельности</w:t>
      </w:r>
    </w:p>
    <w:p w14:paraId="5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</w:t>
      </w:r>
    </w:p>
    <w:p w14:paraId="53000000">
      <w:pPr>
        <w:ind w:right="-284"/>
        <w:rPr>
          <w:rFonts w:ascii="Tahoma" w:hAnsi="Tahoma"/>
          <w:sz w:val="16"/>
        </w:rPr>
      </w:pPr>
    </w:p>
    <w:p w14:paraId="5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Краткая характеристика </w:t>
      </w:r>
    </w:p>
    <w:p w14:paraId="55000000">
      <w:pPr>
        <w:ind w:right="-284"/>
        <w:rPr>
          <w:rFonts w:ascii="Tahoma" w:hAnsi="Tahoma"/>
          <w:sz w:val="16"/>
        </w:rPr>
      </w:pPr>
    </w:p>
    <w:p w14:paraId="5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Правовое обоснование</w:t>
      </w:r>
    </w:p>
    <w:p w14:paraId="5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образовательная</w:t>
      </w:r>
      <w:r>
        <w:rPr>
          <w:rFonts w:ascii="Tahoma" w:hAnsi="Tahoma"/>
          <w:sz w:val="16"/>
        </w:rPr>
        <w:t xml:space="preserve"> Учреждение создает условия для реализации гражданами Российской Федерации гарантированного гос</w:t>
      </w:r>
      <w:r>
        <w:rPr>
          <w:rFonts w:ascii="Tahoma" w:hAnsi="Tahoma"/>
          <w:sz w:val="16"/>
        </w:rPr>
        <w:t>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14:paraId="5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Учреждение осуществляет обучение и воспитание в интересах личности, общества, государства, обеспечивает </w:t>
      </w:r>
      <w:r>
        <w:rPr>
          <w:rFonts w:ascii="Tahoma" w:hAnsi="Tahoma"/>
          <w:sz w:val="16"/>
        </w:rPr>
        <w:t xml:space="preserve">охрану здоровья и создание благоприятных условий для разностороннего развития личности, в том числе возможности удовлетворения  потребности обучающегося в самообразовании и получении дополнительного образования. </w:t>
      </w:r>
    </w:p>
    <w:p w14:paraId="59000000">
      <w:pPr>
        <w:ind w:right="-284"/>
        <w:rPr>
          <w:rFonts w:ascii="Tahoma" w:hAnsi="Tahoma"/>
          <w:sz w:val="16"/>
        </w:rPr>
      </w:pPr>
    </w:p>
    <w:p w14:paraId="5A000000">
      <w:pPr>
        <w:ind w:right="-284"/>
        <w:rPr>
          <w:rFonts w:ascii="Tahoma" w:hAnsi="Tahoma"/>
          <w:sz w:val="16"/>
        </w:rPr>
      </w:pPr>
    </w:p>
    <w:p w14:paraId="5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Утвержден Исполнительным комитетом Нурлатского муниципального района Республики Татарстан, постановление №782 от 16.09.2015г. </w:t>
      </w:r>
    </w:p>
    <w:p w14:paraId="5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Лицензия на право образовательной деятельности. Серия 16 Л 01 № 8309 от 10.05.16. </w:t>
      </w:r>
    </w:p>
    <w:p w14:paraId="5D000000">
      <w:pPr>
        <w:ind w:right="-284"/>
        <w:rPr>
          <w:rFonts w:ascii="Tahoma" w:hAnsi="Tahoma"/>
          <w:sz w:val="16"/>
        </w:rPr>
      </w:pPr>
    </w:p>
    <w:p w14:paraId="5E000000">
      <w:pPr>
        <w:ind w:right="-284"/>
        <w:rPr>
          <w:rFonts w:ascii="Tahoma" w:hAnsi="Tahoma"/>
          <w:sz w:val="16"/>
        </w:rPr>
      </w:pPr>
    </w:p>
    <w:p w14:paraId="5F000000">
      <w:pPr>
        <w:ind w:right="-284"/>
        <w:rPr>
          <w:rFonts w:ascii="Tahoma" w:hAnsi="Tahoma"/>
          <w:sz w:val="16"/>
        </w:rPr>
      </w:pPr>
    </w:p>
    <w:p w14:paraId="6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Раздел № 2. Результаты деятельно</w:t>
      </w:r>
      <w:r>
        <w:rPr>
          <w:rFonts w:ascii="Tahoma" w:hAnsi="Tahoma"/>
          <w:sz w:val="16"/>
        </w:rPr>
        <w:t>сти</w:t>
      </w:r>
    </w:p>
    <w:p w14:paraId="6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Основными мерами, принимаемыми образовательными учреждениями по повышению эффективности использования денежных средств являются:</w:t>
      </w:r>
    </w:p>
    <w:p w14:paraId="6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оптимизация расходов за счет проведения котировочных и аукционных процедур в соответствии с 94-ФЗ (экономия средств за 20</w:t>
      </w:r>
      <w:r>
        <w:rPr>
          <w:rFonts w:ascii="Tahoma" w:hAnsi="Tahoma"/>
          <w:sz w:val="16"/>
        </w:rPr>
        <w:t>20 год составила 917,4 тыс</w:t>
      </w:r>
      <w:r>
        <w:rPr>
          <w:rFonts w:ascii="Tahoma" w:hAnsi="Tahoma"/>
          <w:sz w:val="16"/>
        </w:rPr>
        <w:t>.р</w:t>
      </w:r>
      <w:r>
        <w:rPr>
          <w:rFonts w:ascii="Tahoma" w:hAnsi="Tahoma"/>
          <w:sz w:val="16"/>
        </w:rPr>
        <w:t>уб.);</w:t>
      </w:r>
    </w:p>
    <w:p w14:paraId="6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- сокращение расходов на коммунальные услуги за счет </w:t>
      </w:r>
      <w:r>
        <w:rPr>
          <w:rFonts w:ascii="Tahoma" w:hAnsi="Tahoma"/>
          <w:sz w:val="16"/>
        </w:rPr>
        <w:t>установки приборов учета расходов тепловой энергии</w:t>
      </w:r>
      <w:r>
        <w:rPr>
          <w:rFonts w:ascii="Tahoma" w:hAnsi="Tahoma"/>
          <w:sz w:val="16"/>
        </w:rPr>
        <w:t xml:space="preserve"> и воды.</w:t>
      </w:r>
    </w:p>
    <w:p w14:paraId="6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Штатная и фактическая численность работников бюджетного учреждения  по состоянию на 01.01. 2022 года составляе</w:t>
      </w:r>
      <w:r>
        <w:rPr>
          <w:rFonts w:ascii="Tahoma" w:hAnsi="Tahoma"/>
          <w:sz w:val="16"/>
        </w:rPr>
        <w:t>т:</w:t>
      </w:r>
    </w:p>
    <w:p w14:paraId="6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Направление деятельности Штатная численность (ед.) Фактическая численность (ед.)</w:t>
      </w:r>
    </w:p>
    <w:p w14:paraId="6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Общее образование 67,217 51</w:t>
      </w:r>
    </w:p>
    <w:p w14:paraId="6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Итого: 67,217 51</w:t>
      </w:r>
    </w:p>
    <w:p w14:paraId="6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Балансовая стоимость основных фондов по состоянию на 01.01.2022 года составляет 25 972 808,48 руб.,  процент износа основных ср</w:t>
      </w:r>
      <w:r>
        <w:rPr>
          <w:rFonts w:ascii="Tahoma" w:hAnsi="Tahoma"/>
          <w:sz w:val="16"/>
        </w:rPr>
        <w:t>едств составляет – 72,12%. Для поддержания в удовлетворительном состоянии основных фондов заключены договора на техническое обслуживание оборудования, на обслуживание охранной и пожарной сигнализации.</w:t>
      </w:r>
    </w:p>
    <w:p w14:paraId="69000000">
      <w:pPr>
        <w:ind w:right="-284"/>
        <w:rPr>
          <w:rFonts w:ascii="Tahoma" w:hAnsi="Tahoma"/>
          <w:sz w:val="16"/>
        </w:rPr>
      </w:pPr>
    </w:p>
    <w:p w14:paraId="6A000000">
      <w:pPr>
        <w:ind w:right="-284"/>
        <w:rPr>
          <w:rFonts w:ascii="Tahoma" w:hAnsi="Tahoma"/>
          <w:sz w:val="16"/>
        </w:rPr>
      </w:pPr>
    </w:p>
    <w:p w14:paraId="6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Таблица № 4</w:t>
      </w:r>
    </w:p>
    <w:p w14:paraId="6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Сведения об особенностях ведения учрежден</w:t>
      </w:r>
      <w:r>
        <w:rPr>
          <w:rFonts w:ascii="Tahoma" w:hAnsi="Tahoma"/>
          <w:sz w:val="16"/>
        </w:rPr>
        <w:t>ием бухгалтерского учета</w:t>
      </w:r>
    </w:p>
    <w:p w14:paraId="6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Наименование объекта учета Код бюджетного учета Характеристика метода оценки и момент отражения операции в бухгалтерском учете Правовое обоснование</w:t>
      </w:r>
    </w:p>
    <w:p w14:paraId="6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1 2 3 4</w:t>
      </w:r>
    </w:p>
    <w:p w14:paraId="6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Материальные запасы 10500 Выбытие (отпуск) материальных запасов производился по средней фактической стоимости Приказ Минфина России от 01.12.2010 №157н,</w:t>
      </w:r>
    </w:p>
    <w:p w14:paraId="7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приказ Минфина России от 06.12.2010 3 174н</w:t>
      </w:r>
    </w:p>
    <w:p w14:paraId="71000000">
      <w:pPr>
        <w:ind w:right="-284"/>
        <w:rPr>
          <w:rFonts w:ascii="Tahoma" w:hAnsi="Tahoma"/>
          <w:sz w:val="16"/>
        </w:rPr>
      </w:pPr>
    </w:p>
    <w:p w14:paraId="7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Таблица № 5</w:t>
      </w:r>
    </w:p>
    <w:p w14:paraId="7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Сведения о результатах мероприятий внутреннего </w:t>
      </w:r>
      <w:r>
        <w:rPr>
          <w:rFonts w:ascii="Tahoma" w:hAnsi="Tahoma"/>
          <w:sz w:val="16"/>
        </w:rPr>
        <w:t>контроля</w:t>
      </w:r>
    </w:p>
    <w:p w14:paraId="7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Тип контрольных мероприятий Наименование мероприятия </w:t>
      </w:r>
      <w:r>
        <w:rPr>
          <w:rFonts w:ascii="Tahoma" w:hAnsi="Tahoma"/>
          <w:sz w:val="16"/>
        </w:rPr>
        <w:t>Выявленн ые</w:t>
      </w:r>
      <w:r>
        <w:rPr>
          <w:rFonts w:ascii="Tahoma" w:hAnsi="Tahoma"/>
          <w:sz w:val="16"/>
        </w:rPr>
        <w:t xml:space="preserve">  нарушени я Меры по устранению выявленных нарушений</w:t>
      </w:r>
    </w:p>
    <w:p w14:paraId="7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1 2 3 4</w:t>
      </w:r>
    </w:p>
    <w:p w14:paraId="7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Предварительный Контроль за соответствием заключаемых договоров, согласно доведенным ЛБО</w:t>
      </w:r>
      <w:r>
        <w:rPr>
          <w:rFonts w:ascii="Tahoma" w:hAnsi="Tahoma"/>
          <w:sz w:val="16"/>
        </w:rPr>
        <w:t xml:space="preserve"> - -</w:t>
      </w:r>
    </w:p>
    <w:p w14:paraId="7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Проверка соответствия денежн</w:t>
      </w:r>
      <w:r>
        <w:rPr>
          <w:rFonts w:ascii="Tahoma" w:hAnsi="Tahoma"/>
          <w:sz w:val="16"/>
        </w:rPr>
        <w:t xml:space="preserve">ых средств на лицевом счете в УФК и остатков в регистрах учета  </w:t>
      </w:r>
    </w:p>
    <w:p w14:paraId="7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Текущий</w:t>
      </w:r>
      <w:r>
        <w:rPr>
          <w:rFonts w:ascii="Tahoma" w:hAnsi="Tahoma"/>
          <w:sz w:val="16"/>
        </w:rPr>
        <w:t xml:space="preserve"> Проверка правильности расчетов с налоговыми органами, внебюджетными фондами, организациями - -</w:t>
      </w:r>
    </w:p>
    <w:p w14:paraId="7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Ревизия кассы, соблюдения порядка кассовых операций  </w:t>
      </w:r>
    </w:p>
    <w:p w14:paraId="7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Достоверность сумм кредиторской </w:t>
      </w:r>
      <w:r>
        <w:rPr>
          <w:rFonts w:ascii="Tahoma" w:hAnsi="Tahoma"/>
          <w:sz w:val="16"/>
        </w:rPr>
        <w:t xml:space="preserve">и дебиторской задолженности  </w:t>
      </w:r>
    </w:p>
    <w:p w14:paraId="7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Снятие остатков материальных запасов и основных средств  </w:t>
      </w:r>
    </w:p>
    <w:p w14:paraId="7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Последующий</w:t>
      </w:r>
      <w:r>
        <w:rPr>
          <w:rFonts w:ascii="Tahoma" w:hAnsi="Tahoma"/>
          <w:sz w:val="16"/>
        </w:rPr>
        <w:t xml:space="preserve"> Проверка ведения учета материальных ценностей у материально ответственных лиц - -</w:t>
      </w:r>
    </w:p>
    <w:p w14:paraId="7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Выборочная инвентаризация для осуществления </w:t>
      </w:r>
      <w:r>
        <w:rPr>
          <w:rFonts w:ascii="Tahoma" w:hAnsi="Tahoma"/>
          <w:sz w:val="16"/>
        </w:rPr>
        <w:t>контроля за</w:t>
      </w:r>
      <w:r>
        <w:rPr>
          <w:rFonts w:ascii="Tahoma" w:hAnsi="Tahoma"/>
          <w:sz w:val="16"/>
        </w:rPr>
        <w:t xml:space="preserve"> сохранностью цен</w:t>
      </w:r>
      <w:r>
        <w:rPr>
          <w:rFonts w:ascii="Tahoma" w:hAnsi="Tahoma"/>
          <w:sz w:val="16"/>
        </w:rPr>
        <w:t xml:space="preserve">ностей, выполнением правил их хранения  </w:t>
      </w:r>
    </w:p>
    <w:p w14:paraId="7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Проверка соответствия перечня и номенклатуры полученных товаров (работ, услуг) перечню и номенклатуре оплачиваемых товаров (работ, услуг) согласно договору (счету)  </w:t>
      </w:r>
    </w:p>
    <w:p w14:paraId="7F000000">
      <w:pPr>
        <w:ind w:right="-284"/>
        <w:rPr>
          <w:rFonts w:ascii="Tahoma" w:hAnsi="Tahoma"/>
          <w:sz w:val="16"/>
        </w:rPr>
      </w:pPr>
    </w:p>
    <w:p w14:paraId="8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Раздел № 3. Анализ отчета об исполнении учреждениями планов его деятельности</w:t>
      </w:r>
    </w:p>
    <w:p w14:paraId="8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За 2021 год Учреждению определены к финансированию следующие субсидии на иные цели по направлениям:</w:t>
      </w:r>
    </w:p>
    <w:p w14:paraId="8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  - субсидия на обеспечение продуктами питания детей из малообеспеченных семей</w:t>
      </w:r>
      <w:r>
        <w:rPr>
          <w:rFonts w:ascii="Tahoma" w:hAnsi="Tahoma"/>
          <w:sz w:val="16"/>
        </w:rPr>
        <w:t xml:space="preserve"> и детей с нарушениями здоровья, обучающихся в муниципальных общеобразовательных учреждениях – местный бюджет;</w:t>
      </w:r>
    </w:p>
    <w:p w14:paraId="8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субсидия молодым специалистам – республиканский бюджет;</w:t>
      </w:r>
    </w:p>
    <w:p w14:paraId="8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               -  монтаж извещателей - местный бюджет;</w:t>
      </w:r>
    </w:p>
    <w:p w14:paraId="8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на приобретение тахографа – м</w:t>
      </w:r>
      <w:r>
        <w:rPr>
          <w:rFonts w:ascii="Tahoma" w:hAnsi="Tahoma"/>
          <w:sz w:val="16"/>
        </w:rPr>
        <w:t>естный бюджет;</w:t>
      </w:r>
    </w:p>
    <w:p w14:paraId="8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на перевозку учащихся - местный бюджет;</w:t>
      </w:r>
    </w:p>
    <w:p w14:paraId="8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монтаж тахографа - местный бюджет;</w:t>
      </w:r>
    </w:p>
    <w:p w14:paraId="8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ЭЦП - местный бюджет;</w:t>
      </w:r>
    </w:p>
    <w:p w14:paraId="8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- временное трудоустройство учащихся - местный бюджет;</w:t>
      </w:r>
    </w:p>
    <w:p w14:paraId="8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субсидия на пришкольный лагерь – республиканский бюджет.</w:t>
      </w:r>
    </w:p>
    <w:p w14:paraId="8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Общий плановый объем ср</w:t>
      </w:r>
      <w:r>
        <w:rPr>
          <w:rFonts w:ascii="Tahoma" w:hAnsi="Tahoma"/>
          <w:sz w:val="16"/>
        </w:rPr>
        <w:t>едств направленный на мероприятия целевого характера за 2021 год составил 317978 руб. 25 коп</w:t>
      </w:r>
      <w:r>
        <w:rPr>
          <w:rFonts w:ascii="Tahoma" w:hAnsi="Tahoma"/>
          <w:sz w:val="16"/>
        </w:rPr>
        <w:t xml:space="preserve">., </w:t>
      </w:r>
      <w:r>
        <w:rPr>
          <w:rFonts w:ascii="Tahoma" w:hAnsi="Tahoma"/>
          <w:sz w:val="16"/>
        </w:rPr>
        <w:t>кассовое исполнение составило 317312 рубля 72 коп.</w:t>
      </w:r>
    </w:p>
    <w:p w14:paraId="8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Финансирование </w:t>
      </w:r>
      <w:r>
        <w:rPr>
          <w:rFonts w:ascii="Tahoma" w:hAnsi="Tahoma"/>
          <w:sz w:val="16"/>
        </w:rPr>
        <w:t>образовательных</w:t>
      </w:r>
      <w:r>
        <w:rPr>
          <w:rFonts w:ascii="Tahoma" w:hAnsi="Tahoma"/>
          <w:sz w:val="16"/>
        </w:rPr>
        <w:t xml:space="preserve"> учреждения. Субсидия на выполнение муниципального задания:</w:t>
      </w:r>
    </w:p>
    <w:p w14:paraId="8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План по доходам и расходам на 2021 года составил 26708219 руб. 30 коп., фактически поступило доходов за 2021 год 26268460 руб. 20 коп</w:t>
      </w:r>
      <w:r>
        <w:rPr>
          <w:rFonts w:ascii="Tahoma" w:hAnsi="Tahoma"/>
          <w:sz w:val="16"/>
        </w:rPr>
        <w:t>.</w:t>
      </w: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z w:val="16"/>
        </w:rPr>
        <w:t>и</w:t>
      </w:r>
      <w:r>
        <w:rPr>
          <w:rFonts w:ascii="Tahoma" w:hAnsi="Tahoma"/>
          <w:sz w:val="16"/>
        </w:rPr>
        <w:t>ли 98,36% от планового значения.</w:t>
      </w:r>
    </w:p>
    <w:p w14:paraId="8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Источником поступления доходов являются денежные средства республиканского, местного бю</w:t>
      </w:r>
      <w:r>
        <w:rPr>
          <w:rFonts w:ascii="Tahoma" w:hAnsi="Tahoma"/>
          <w:sz w:val="16"/>
        </w:rPr>
        <w:t>джета (в виде субвенций и субсидий), направляемые на выплату заработной платы и на содержание учреждения.</w:t>
      </w:r>
    </w:p>
    <w:p w14:paraId="8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Кассовые  расходы  учреждения  за 2021  год  составили  – 26187318 руб. 76 коп</w:t>
      </w:r>
      <w:r>
        <w:rPr>
          <w:rFonts w:ascii="Tahoma" w:hAnsi="Tahoma"/>
          <w:sz w:val="16"/>
        </w:rPr>
        <w:t>.</w:t>
      </w: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z w:val="16"/>
        </w:rPr>
        <w:t>и</w:t>
      </w:r>
      <w:r>
        <w:rPr>
          <w:rFonts w:ascii="Tahoma" w:hAnsi="Tahoma"/>
          <w:sz w:val="16"/>
        </w:rPr>
        <w:t>ли 98,05% от утвержденных бюджетных назначений.</w:t>
      </w:r>
    </w:p>
    <w:p w14:paraId="9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Собственные доходы:</w:t>
      </w:r>
    </w:p>
    <w:p w14:paraId="9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</w:t>
      </w:r>
      <w:r>
        <w:rPr>
          <w:rFonts w:ascii="Tahoma" w:hAnsi="Tahoma"/>
          <w:sz w:val="16"/>
        </w:rPr>
        <w:t>статок на начало года составил 194148,47 рублей. План по доходам и расходам на 2021 год составил 859649,91 руб. Фактически поступило доходов за 2021 год – 801756,85 руб. или 93,27% планового значения, кассовые расходы составили 621119,55 руб. или 72,26% от</w:t>
      </w:r>
      <w:r>
        <w:rPr>
          <w:rFonts w:ascii="Tahoma" w:hAnsi="Tahoma"/>
          <w:sz w:val="16"/>
        </w:rPr>
        <w:t xml:space="preserve"> утвержденных бюджетных назначений.</w:t>
      </w:r>
    </w:p>
    <w:p w14:paraId="9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Основными источниками поступления доходов являются:</w:t>
      </w:r>
    </w:p>
    <w:p w14:paraId="9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платное питание.</w:t>
      </w:r>
    </w:p>
    <w:p w14:paraId="9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Возмещение коммунальных услуг</w:t>
      </w:r>
    </w:p>
    <w:p w14:paraId="9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Выручка от реализации</w:t>
      </w:r>
    </w:p>
    <w:p w14:paraId="9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Спонсорская помощь</w:t>
      </w:r>
    </w:p>
    <w:p w14:paraId="97000000">
      <w:pPr>
        <w:ind w:right="-284"/>
        <w:rPr>
          <w:rFonts w:ascii="Tahoma" w:hAnsi="Tahoma"/>
          <w:sz w:val="16"/>
        </w:rPr>
      </w:pPr>
    </w:p>
    <w:p w14:paraId="9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Раздел № 4. Анализ показателей отчетности учреждения Форма 0503768z Суб</w:t>
      </w:r>
      <w:r>
        <w:rPr>
          <w:rFonts w:ascii="Tahoma" w:hAnsi="Tahoma"/>
          <w:sz w:val="16"/>
        </w:rPr>
        <w:t>сидия на выполнение муниципального задания: За  2021 год поступление основных средств составило 2 399 274,04 руб.:</w:t>
      </w:r>
    </w:p>
    <w:p w14:paraId="99000000">
      <w:pPr>
        <w:ind w:right="-284"/>
        <w:rPr>
          <w:rFonts w:ascii="Tahoma" w:hAnsi="Tahoma"/>
          <w:sz w:val="16"/>
        </w:rPr>
      </w:pPr>
    </w:p>
    <w:p w14:paraId="9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Направление Сумма</w:t>
      </w:r>
    </w:p>
    <w:p w14:paraId="9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(руб</w:t>
      </w:r>
      <w:r>
        <w:rPr>
          <w:rFonts w:ascii="Tahoma" w:hAnsi="Tahoma"/>
          <w:sz w:val="16"/>
        </w:rPr>
        <w:t>.к</w:t>
      </w:r>
      <w:r>
        <w:rPr>
          <w:rFonts w:ascii="Tahoma" w:hAnsi="Tahoma"/>
          <w:sz w:val="16"/>
        </w:rPr>
        <w:t>оп.) Краткая</w:t>
      </w:r>
    </w:p>
    <w:p w14:paraId="9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характеристика</w:t>
      </w:r>
    </w:p>
    <w:p w14:paraId="9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Приобретено за счет собственных доходов 80 400,00 Мебель</w:t>
      </w:r>
    </w:p>
    <w:p w14:paraId="9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Приобретено за счет субсидии на</w:t>
      </w:r>
      <w:r>
        <w:rPr>
          <w:rFonts w:ascii="Tahoma" w:hAnsi="Tahoma"/>
          <w:sz w:val="16"/>
        </w:rPr>
        <w:t xml:space="preserve"> выполнение муниципального задания 2 318 874,04 Автобус,  ультрафиолетовый облучатель-рециркулятор, тахограф, учебная литература</w:t>
      </w:r>
    </w:p>
    <w:p w14:paraId="9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Переведено с КФО 5 на КФО 4 30 500,00 Тахограф</w:t>
      </w:r>
    </w:p>
    <w:p w14:paraId="A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 балансе учреждения особо ценное имущество на 01.01.2022 составляет  8 404 242</w:t>
      </w:r>
      <w:r>
        <w:rPr>
          <w:rFonts w:ascii="Tahoma" w:hAnsi="Tahoma"/>
          <w:sz w:val="16"/>
        </w:rPr>
        <w:t>,21 руб.</w:t>
      </w:r>
    </w:p>
    <w:p w14:paraId="A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Материальных запасов за 2021 год приобретено на сумму 1 392 373,41 руб., из них продукты питания на сумму 1 230 211,98 руб., а остальные 162 161,43 руб. в основном это  хозяйственные товары необходимые для деятельности учреждения.</w:t>
      </w:r>
    </w:p>
    <w:p w14:paraId="A2000000">
      <w:pPr>
        <w:ind w:right="-284"/>
        <w:rPr>
          <w:rFonts w:ascii="Tahoma" w:hAnsi="Tahoma"/>
          <w:sz w:val="16"/>
        </w:rPr>
      </w:pPr>
    </w:p>
    <w:p w14:paraId="A3000000">
      <w:pPr>
        <w:ind w:right="-284"/>
        <w:rPr>
          <w:rFonts w:ascii="Tahoma" w:hAnsi="Tahoma"/>
          <w:sz w:val="16"/>
        </w:rPr>
      </w:pPr>
    </w:p>
    <w:p w14:paraId="A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Направление Су</w:t>
      </w:r>
      <w:r>
        <w:rPr>
          <w:rFonts w:ascii="Tahoma" w:hAnsi="Tahoma"/>
          <w:sz w:val="16"/>
        </w:rPr>
        <w:t>мма</w:t>
      </w:r>
    </w:p>
    <w:p w14:paraId="A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(руб</w:t>
      </w:r>
      <w:r>
        <w:rPr>
          <w:rFonts w:ascii="Tahoma" w:hAnsi="Tahoma"/>
          <w:sz w:val="16"/>
        </w:rPr>
        <w:t>.к</w:t>
      </w:r>
      <w:r>
        <w:rPr>
          <w:rFonts w:ascii="Tahoma" w:hAnsi="Tahoma"/>
          <w:sz w:val="16"/>
        </w:rPr>
        <w:t xml:space="preserve">оп.) Краткая </w:t>
      </w:r>
    </w:p>
    <w:p w14:paraId="A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характеристика</w:t>
      </w:r>
    </w:p>
    <w:p w14:paraId="A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Приобретеноа за счет собственных доходов 486 159,46 Продукты питания, медикаменты, информационный стенд, хоз</w:t>
      </w:r>
      <w:r>
        <w:rPr>
          <w:rFonts w:ascii="Tahoma" w:hAnsi="Tahoma"/>
          <w:sz w:val="16"/>
        </w:rPr>
        <w:t>.т</w:t>
      </w:r>
      <w:r>
        <w:rPr>
          <w:rFonts w:ascii="Tahoma" w:hAnsi="Tahoma"/>
          <w:sz w:val="16"/>
        </w:rPr>
        <w:t>овары, моющие средства, канцтовары</w:t>
      </w:r>
    </w:p>
    <w:p w14:paraId="A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Приобретено за счет субсидии на выполнение гос</w:t>
      </w:r>
      <w:r>
        <w:rPr>
          <w:rFonts w:ascii="Tahoma" w:hAnsi="Tahoma"/>
          <w:sz w:val="16"/>
        </w:rPr>
        <w:t>.з</w:t>
      </w:r>
      <w:r>
        <w:rPr>
          <w:rFonts w:ascii="Tahoma" w:hAnsi="Tahoma"/>
          <w:sz w:val="16"/>
        </w:rPr>
        <w:t>адания 767 789,00 Проду</w:t>
      </w:r>
      <w:r>
        <w:rPr>
          <w:rFonts w:ascii="Tahoma" w:hAnsi="Tahoma"/>
          <w:sz w:val="16"/>
        </w:rPr>
        <w:t>кты питания, стройматериалы, хоз.товары</w:t>
      </w:r>
    </w:p>
    <w:p w14:paraId="A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Приобретено за счет субсидии    на   иные цели 138 424,95 Продукты питания</w:t>
      </w:r>
    </w:p>
    <w:p w14:paraId="A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На забалансовом учете по состоянию на 01.01.2022 года сформированы остатки средств:</w:t>
      </w:r>
    </w:p>
    <w:p w14:paraId="A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счет  Z021 – числится иное движимое имущество до 10 000 рублей в сумме </w:t>
      </w:r>
    </w:p>
    <w:p w14:paraId="A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493 304,71 руб.;</w:t>
      </w:r>
    </w:p>
    <w:p w14:paraId="A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счет  Z026 – </w:t>
      </w:r>
      <w:r>
        <w:rPr>
          <w:rFonts w:ascii="Tahoma" w:hAnsi="Tahoma"/>
          <w:sz w:val="16"/>
        </w:rPr>
        <w:t>имущество</w:t>
      </w:r>
      <w:r>
        <w:rPr>
          <w:rFonts w:ascii="Tahoma" w:hAnsi="Tahoma"/>
          <w:sz w:val="16"/>
        </w:rPr>
        <w:t xml:space="preserve"> переданное на безвозмездное пользование составляет 3 422 872,30 руб.</w:t>
      </w:r>
    </w:p>
    <w:p w14:paraId="AE000000">
      <w:pPr>
        <w:ind w:right="-284"/>
        <w:rPr>
          <w:rFonts w:ascii="Tahoma" w:hAnsi="Tahoma"/>
          <w:sz w:val="16"/>
        </w:rPr>
      </w:pPr>
    </w:p>
    <w:p w14:paraId="A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Информация о движении нефинансовых активов представлена в форме 0503768 «Сведения о движении нефинансовых активов учреждения».</w:t>
      </w:r>
    </w:p>
    <w:p w14:paraId="B0000000">
      <w:pPr>
        <w:ind w:right="-284"/>
        <w:rPr>
          <w:rFonts w:ascii="Tahoma" w:hAnsi="Tahoma"/>
          <w:sz w:val="16"/>
        </w:rPr>
      </w:pPr>
    </w:p>
    <w:p w14:paraId="B1000000">
      <w:pPr>
        <w:ind w:right="-284"/>
        <w:rPr>
          <w:rFonts w:ascii="Tahoma" w:hAnsi="Tahoma"/>
          <w:sz w:val="16"/>
        </w:rPr>
      </w:pPr>
    </w:p>
    <w:p w14:paraId="B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Форма 0503769 «Сведения по дебиторской и кредиторской задолженности»:</w:t>
      </w:r>
    </w:p>
    <w:p w14:paraId="B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Субсидия на выполнение муниципального задания:</w:t>
      </w:r>
    </w:p>
    <w:p w14:paraId="B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состоян</w:t>
      </w:r>
      <w:r>
        <w:rPr>
          <w:rFonts w:ascii="Tahoma" w:hAnsi="Tahoma"/>
          <w:sz w:val="16"/>
        </w:rPr>
        <w:t>ию на 01.01.2022г. имеется кредиторская задолженность на сумму 1346627,83 руб.</w:t>
      </w:r>
    </w:p>
    <w:p w14:paraId="B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Основными кредиторами и причинами образования задолженности являются:</w:t>
      </w:r>
    </w:p>
    <w:p w14:paraId="B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- 518,28 руб. </w:t>
      </w:r>
      <w:r>
        <w:rPr>
          <w:rFonts w:ascii="Tahoma" w:hAnsi="Tahoma"/>
          <w:sz w:val="16"/>
        </w:rPr>
        <w:t>-з</w:t>
      </w:r>
      <w:r>
        <w:rPr>
          <w:rFonts w:ascii="Tahoma" w:hAnsi="Tahoma"/>
          <w:sz w:val="16"/>
        </w:rPr>
        <w:t>адолженность за услуги связи перед ПАО «Таттелеком».</w:t>
      </w:r>
    </w:p>
    <w:p w14:paraId="B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- 1258,73 руб.- задолженность за проду</w:t>
      </w:r>
      <w:r>
        <w:rPr>
          <w:rFonts w:ascii="Tahoma" w:hAnsi="Tahoma"/>
          <w:sz w:val="16"/>
        </w:rPr>
        <w:t>кты питания перед ОО</w:t>
      </w:r>
      <w:r>
        <w:rPr>
          <w:rFonts w:ascii="Tahoma" w:hAnsi="Tahoma"/>
          <w:sz w:val="16"/>
        </w:rPr>
        <w:t>О"</w:t>
      </w:r>
      <w:r>
        <w:rPr>
          <w:rFonts w:ascii="Tahoma" w:hAnsi="Tahoma"/>
          <w:sz w:val="16"/>
        </w:rPr>
        <w:t>Здоровье".</w:t>
      </w:r>
    </w:p>
    <w:p w14:paraId="B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- 1344850,82 руб. резервы предстоящих расходов.</w:t>
      </w:r>
    </w:p>
    <w:p w14:paraId="B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состоянию на 01.01.2022г. имеется дебиторская задолженность  на  сумму 97641,54 руб.</w:t>
      </w:r>
    </w:p>
    <w:p w14:paraId="B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Основными дебиторами и причинами образования задолженности являются:</w:t>
      </w:r>
    </w:p>
    <w:p w14:paraId="B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- 5480,42 коп</w:t>
      </w:r>
      <w:r>
        <w:rPr>
          <w:rFonts w:ascii="Tahoma" w:hAnsi="Tahoma"/>
          <w:sz w:val="16"/>
        </w:rPr>
        <w:t>.</w:t>
      </w: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z w:val="16"/>
        </w:rPr>
        <w:t>з</w:t>
      </w:r>
      <w:r>
        <w:rPr>
          <w:rFonts w:ascii="Tahoma" w:hAnsi="Tahoma"/>
          <w:sz w:val="16"/>
        </w:rPr>
        <w:t>ад</w:t>
      </w:r>
      <w:r>
        <w:rPr>
          <w:rFonts w:ascii="Tahoma" w:hAnsi="Tahoma"/>
          <w:sz w:val="16"/>
        </w:rPr>
        <w:t>олженность перед АО «Газпром межрегионгаз Казань»</w:t>
      </w:r>
    </w:p>
    <w:p w14:paraId="B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- 52959,96 руб. авансирование за коммунальные услуги </w:t>
      </w:r>
      <w:r>
        <w:rPr>
          <w:rFonts w:ascii="Tahoma" w:hAnsi="Tahoma"/>
          <w:sz w:val="16"/>
        </w:rPr>
        <w:t>перед</w:t>
      </w: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z w:val="16"/>
        </w:rPr>
        <w:t>Филиал</w:t>
      </w:r>
      <w:r>
        <w:rPr>
          <w:rFonts w:ascii="Tahoma" w:hAnsi="Tahoma"/>
          <w:sz w:val="16"/>
        </w:rPr>
        <w:t xml:space="preserve"> АО «Татэнергосбыт»  Чистопольское отделение</w:t>
      </w:r>
    </w:p>
    <w:p w14:paraId="B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-38500,00 руб авансирование за поставку и внедрение тахографа перед ООО «Атис»</w:t>
      </w:r>
    </w:p>
    <w:p w14:paraId="B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-701,16 руб. расч</w:t>
      </w:r>
      <w:r>
        <w:rPr>
          <w:rFonts w:ascii="Tahoma" w:hAnsi="Tahoma"/>
          <w:sz w:val="16"/>
        </w:rPr>
        <w:t>еты по страховым взносам.</w:t>
      </w:r>
    </w:p>
    <w:p w14:paraId="BF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Информация по дебиторской и кредиторской задолженности представлены  в форме 0503769 «Сведения по дебиторской и кредиторской задолженности учреждения» (субсидии на выполнение муниципального задания).</w:t>
      </w:r>
    </w:p>
    <w:p w14:paraId="C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Субсидии на иные цели:</w:t>
      </w:r>
    </w:p>
    <w:p w14:paraId="C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</w:t>
      </w:r>
      <w:r>
        <w:rPr>
          <w:rFonts w:ascii="Tahoma" w:hAnsi="Tahoma"/>
          <w:sz w:val="16"/>
        </w:rPr>
        <w:t>оянию на 01.01.2022г. имеется дебиторская задолженность на сумму 176,35  руб. авансирование за услуги связи.</w:t>
      </w:r>
    </w:p>
    <w:p w14:paraId="C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состоянию на 01.01.2022г. кредиторская задолженность отсутствует.</w:t>
      </w:r>
    </w:p>
    <w:p w14:paraId="C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Информация по дебиторской и кредиторской задолженности представлены  в форме 0</w:t>
      </w:r>
      <w:r>
        <w:rPr>
          <w:rFonts w:ascii="Tahoma" w:hAnsi="Tahoma"/>
          <w:sz w:val="16"/>
        </w:rPr>
        <w:t>503769 «Сведения по дебиторской и кредиторской задолженности учреждения» (субсидии на иные цели).</w:t>
      </w:r>
    </w:p>
    <w:p w14:paraId="C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Собственные доходы учреждения:</w:t>
      </w:r>
    </w:p>
    <w:p w14:paraId="C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состоянию на 01.01.2022г. дебиторская задолженность отсутствует.</w:t>
      </w:r>
    </w:p>
    <w:p w14:paraId="C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состоянию на 01.01.2022г. имеется кредиторская задолженность на сумму 6077,55 руб.- по расчетам с плательщиками доходов от оказания платных работ, услуг.</w:t>
      </w:r>
    </w:p>
    <w:p w14:paraId="C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Информация по дебиторской и кредиторской задолженности в форме 0503769 «Сведения по дебиторской и </w:t>
      </w:r>
      <w:r>
        <w:rPr>
          <w:rFonts w:ascii="Tahoma" w:hAnsi="Tahoma"/>
          <w:sz w:val="16"/>
        </w:rPr>
        <w:t>кредиторской задолженности учреждения» (собственные доходы учреждения) не представляется в связи с отсутствием числовых значений.</w:t>
      </w:r>
    </w:p>
    <w:p w14:paraId="C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Форма 0503779 Сведения об остатках денежных средств учреждения.</w:t>
      </w:r>
    </w:p>
    <w:p w14:paraId="C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По состоянию на 01.01.2022 г. на лицевых счетах учреждения по </w:t>
      </w:r>
      <w:r>
        <w:rPr>
          <w:rFonts w:ascii="Tahoma" w:hAnsi="Tahoma"/>
          <w:sz w:val="16"/>
        </w:rPr>
        <w:t>деятельности с целевыми средствами и деятельности по  оказанию услуг (работ) имеется остаток денежных сре</w:t>
      </w:r>
      <w:r>
        <w:rPr>
          <w:rFonts w:ascii="Tahoma" w:hAnsi="Tahoma"/>
          <w:sz w:val="16"/>
        </w:rPr>
        <w:t>дств в с</w:t>
      </w:r>
      <w:r>
        <w:rPr>
          <w:rFonts w:ascii="Tahoma" w:hAnsi="Tahoma"/>
          <w:sz w:val="16"/>
        </w:rPr>
        <w:t>умме 182373 руб. 91 коп.</w:t>
      </w:r>
    </w:p>
    <w:p w14:paraId="C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По состоянию на 01.01.2022 г. у учреждения по деятельности по оказанию платных услуг (работ) имеется остаток денежных </w:t>
      </w:r>
      <w:r>
        <w:rPr>
          <w:rFonts w:ascii="Tahoma" w:hAnsi="Tahoma"/>
          <w:sz w:val="16"/>
        </w:rPr>
        <w:t>сре</w:t>
      </w:r>
      <w:r>
        <w:rPr>
          <w:rFonts w:ascii="Tahoma" w:hAnsi="Tahoma"/>
          <w:sz w:val="16"/>
        </w:rPr>
        <w:t>дств в с</w:t>
      </w:r>
      <w:r>
        <w:rPr>
          <w:rFonts w:ascii="Tahoma" w:hAnsi="Tahoma"/>
          <w:sz w:val="16"/>
        </w:rPr>
        <w:t>умме 766292 руб. 58 коп.</w:t>
      </w:r>
    </w:p>
    <w:p w14:paraId="C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 состоянию на 01.01.2022 г. на лицевых счетах учреждения денежных средств по деятельности с субсидиями на иные средства остаток не имеется.</w:t>
      </w:r>
    </w:p>
    <w:p w14:paraId="C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Информация об остатках денежных средств учреждения представлены в формах 05037</w:t>
      </w:r>
      <w:r>
        <w:rPr>
          <w:rFonts w:ascii="Tahoma" w:hAnsi="Tahoma"/>
          <w:sz w:val="16"/>
        </w:rPr>
        <w:t>79 «Сведения об остатках денежных средств учреждения» отдельно по каждому виду деятельности.</w:t>
      </w:r>
    </w:p>
    <w:p w14:paraId="CD000000">
      <w:pPr>
        <w:ind w:right="-284"/>
        <w:rPr>
          <w:rFonts w:ascii="Tahoma" w:hAnsi="Tahoma"/>
          <w:sz w:val="16"/>
        </w:rPr>
      </w:pPr>
    </w:p>
    <w:p w14:paraId="CE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5. Прочие вопросы деятельности</w:t>
      </w:r>
    </w:p>
    <w:p w14:paraId="CF000000">
      <w:pPr>
        <w:ind w:right="-284"/>
        <w:rPr>
          <w:rFonts w:ascii="Tahoma" w:hAnsi="Tahoma"/>
          <w:sz w:val="16"/>
        </w:rPr>
      </w:pPr>
    </w:p>
    <w:p w14:paraId="D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Бухгалтерская отчетность по состоянию за 2021 год составлена в соответствии с приказом Минфина РФ от 25.03.2011г. №33н «Об утвержд</w:t>
      </w:r>
      <w:r>
        <w:rPr>
          <w:rFonts w:ascii="Tahoma" w:hAnsi="Tahoma"/>
          <w:sz w:val="16"/>
        </w:rPr>
        <w:t>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учреждения».</w:t>
      </w:r>
    </w:p>
    <w:p w14:paraId="D1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Бухгалтерский учет автоматизирован: применяется программа «Барс Бюджет».</w:t>
      </w:r>
    </w:p>
    <w:p w14:paraId="D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В связи с отсутс</w:t>
      </w:r>
      <w:r>
        <w:rPr>
          <w:rFonts w:ascii="Tahoma" w:hAnsi="Tahoma"/>
          <w:sz w:val="16"/>
        </w:rPr>
        <w:t>твием числовых значений в составе полугодовой отчетности не предоставлены следующие формы:</w:t>
      </w:r>
    </w:p>
    <w:p w14:paraId="D3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- 0503725 «СПРАВКА ПО КОНСОЛИДИРУЕМЫМ РАСЧЕТАМ УЧРЕЖДЕНИЯ»</w:t>
      </w:r>
    </w:p>
    <w:p w14:paraId="D4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- 0503737 «Отчет об исполнении учреждением плана его финансово- хозяйственной деятельности» по бюджетным и</w:t>
      </w:r>
      <w:r>
        <w:rPr>
          <w:rFonts w:ascii="Tahoma" w:hAnsi="Tahoma"/>
          <w:sz w:val="16"/>
        </w:rPr>
        <w:t>нвестициям;</w:t>
      </w:r>
    </w:p>
    <w:p w14:paraId="D5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- 0503738 «Отчет об обязательствах, принятых учреждением» по бюджетным инвестициям;</w:t>
      </w:r>
    </w:p>
    <w:p w14:paraId="D6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- 0503768 «Сведения о движениях нефинансовых активов учреждения» по бюджетным инвестициям;</w:t>
      </w:r>
    </w:p>
    <w:p w14:paraId="D7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- 0503769 «Сведения по дебиторской и кредиторской задолженности учреж</w:t>
      </w:r>
      <w:r>
        <w:rPr>
          <w:rFonts w:ascii="Tahoma" w:hAnsi="Tahoma"/>
          <w:sz w:val="16"/>
        </w:rPr>
        <w:t>дения» по бюджетным инвестициям;</w:t>
      </w:r>
    </w:p>
    <w:p w14:paraId="D8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- 0503771 «Сведения о финансовых вложениях учреждения»</w:t>
      </w:r>
    </w:p>
    <w:p w14:paraId="D9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- 0503772 «Сведения о суммах заимствований»</w:t>
      </w:r>
    </w:p>
    <w:p w14:paraId="DA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- 0503773 «Сведения об изменении остатков валюты баланса учреждения» по виду деятельности средства во временном распоряжении</w:t>
      </w:r>
      <w:r>
        <w:rPr>
          <w:rFonts w:ascii="Tahoma" w:hAnsi="Tahoma"/>
          <w:sz w:val="16"/>
        </w:rPr>
        <w:t>.</w:t>
      </w:r>
    </w:p>
    <w:p w14:paraId="DB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-0503773 «Сведения об изменении остатков валюты баланса учреждения»  по виду деятельности деятельность с целевыми средствами.</w:t>
      </w:r>
    </w:p>
    <w:p w14:paraId="DC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-0503776 «Сведения о задолженности по ущербу, причиненному имуществу».</w:t>
      </w:r>
    </w:p>
    <w:p w14:paraId="DD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-0503779 «Сведения об остатках денежных средств учреждени</w:t>
      </w:r>
      <w:r>
        <w:rPr>
          <w:rFonts w:ascii="Tahoma" w:hAnsi="Tahoma"/>
          <w:sz w:val="16"/>
        </w:rPr>
        <w:t>я» по деятельности с целевыми средствами</w:t>
      </w:r>
    </w:p>
    <w:p w14:paraId="DE000000">
      <w:pPr>
        <w:ind w:right="-284"/>
        <w:rPr>
          <w:rFonts w:ascii="Tahoma" w:hAnsi="Tahoma"/>
          <w:sz w:val="16"/>
        </w:rPr>
      </w:pPr>
    </w:p>
    <w:p w14:paraId="DF000000">
      <w:pPr>
        <w:ind w:right="-284"/>
        <w:rPr>
          <w:rFonts w:ascii="Tahoma" w:hAnsi="Tahoma"/>
          <w:sz w:val="16"/>
        </w:rPr>
      </w:pPr>
    </w:p>
    <w:p w14:paraId="E0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Директор школы                                           М.М.Хайруллина</w:t>
      </w:r>
    </w:p>
    <w:p w14:paraId="E1000000">
      <w:pPr>
        <w:ind w:right="-284"/>
        <w:rPr>
          <w:rFonts w:ascii="Tahoma" w:hAnsi="Tahoma"/>
          <w:sz w:val="16"/>
        </w:rPr>
      </w:pPr>
    </w:p>
    <w:p w14:paraId="E2000000">
      <w:pPr>
        <w:ind w:right="-284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Главный бухгалтер                                        Л.И. Гилязова</w:t>
      </w:r>
    </w:p>
    <w:p w14:paraId="E3000000">
      <w:pPr>
        <w:ind w:right="-284"/>
        <w:rPr>
          <w:rFonts w:ascii="Tahoma" w:hAnsi="Tahoma"/>
          <w:sz w:val="16"/>
        </w:rPr>
      </w:pPr>
    </w:p>
    <w:p w14:paraId="E4000000">
      <w:pPr>
        <w:ind w:right="-284"/>
        <w:rPr>
          <w:rFonts w:ascii="Tahoma" w:hAnsi="Tahoma"/>
          <w:sz w:val="16"/>
        </w:rPr>
      </w:pPr>
    </w:p>
    <w:p w14:paraId="E5000000">
      <w:pPr>
        <w:ind w:right="-284"/>
        <w:rPr>
          <w:rFonts w:ascii="Tahoma" w:hAnsi="Tahoma"/>
          <w:sz w:val="16"/>
        </w:rPr>
      </w:pPr>
    </w:p>
    <w:p w14:paraId="E6000000">
      <w:pPr>
        <w:ind w:right="-284"/>
      </w:pPr>
    </w:p>
    <w:p w14:paraId="E7000000">
      <w:pPr>
        <w:ind w:right="-284"/>
      </w:pPr>
    </w:p>
    <w:p w14:paraId="E8000000">
      <w:pPr>
        <w:ind w:right="-284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ooter"/>
    <w:basedOn w:val="Style_2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2_ch"/>
    <w:link w:val="Style_8"/>
  </w:style>
  <w:style w:styleId="Style_9" w:type="paragraph">
    <w:name w:val="Нижний колонтитул Знак"/>
    <w:basedOn w:val="Style_10"/>
    <w:link w:val="Style_9_ch"/>
    <w:rPr>
      <w:sz w:val="22"/>
    </w:rPr>
  </w:style>
  <w:style w:styleId="Style_9_ch" w:type="character">
    <w:name w:val="Нижний колонтитул Знак"/>
    <w:basedOn w:val="Style_10_ch"/>
    <w:link w:val="Style_9"/>
    <w:rPr>
      <w:sz w:val="22"/>
    </w:rPr>
  </w:style>
  <w:style w:styleId="Style_11" w:type="paragraph">
    <w:name w:val="Верхний колонтитул Знак"/>
    <w:basedOn w:val="Style_10"/>
    <w:link w:val="Style_11_ch"/>
    <w:rPr>
      <w:sz w:val="22"/>
    </w:rPr>
  </w:style>
  <w:style w:styleId="Style_11_ch" w:type="character">
    <w:name w:val="Верхний колонтитул Знак"/>
    <w:basedOn w:val="Style_10_ch"/>
    <w:link w:val="Style_11"/>
    <w:rPr>
      <w:sz w:val="22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er"/>
    <w:basedOn w:val="Style_2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header"/>
    <w:basedOn w:val="Style_2_ch"/>
    <w:link w:val="Style_13"/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Нет списка1"/>
    <w:basedOn w:val="Style_10"/>
    <w:link w:val="Style_20_ch"/>
  </w:style>
  <w:style w:styleId="Style_20_ch" w:type="character">
    <w:name w:val="Нет списка1"/>
    <w:basedOn w:val="Style_10_ch"/>
    <w:link w:val="Style_20"/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2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2022-12-07T07:24:02Z</dcterms:modified>
</cp:coreProperties>
</file>